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108BA" w14:textId="042BEEA8" w:rsidR="00E62A8C" w:rsidRPr="00690447" w:rsidRDefault="00F55E8D" w:rsidP="00E62A8C">
      <w:pPr>
        <w:tabs>
          <w:tab w:val="left" w:pos="1985"/>
        </w:tabs>
        <w:spacing w:after="0"/>
        <w:jc w:val="both"/>
        <w:rPr>
          <w:rFonts w:ascii="Arial" w:hAnsi="Arial" w:cs="Arial"/>
          <w:b/>
          <w:bCs/>
          <w:sz w:val="24"/>
        </w:rPr>
      </w:pPr>
      <w:r w:rsidRPr="00F55E8D">
        <w:rPr>
          <w:rFonts w:ascii="Arial" w:hAnsi="Arial" w:cs="Arial"/>
          <w:b/>
          <w:bCs/>
          <w:sz w:val="24"/>
        </w:rPr>
        <w:t>3GPP TSG RAN WG1 Meeting 90bis</w:t>
      </w:r>
      <w:r w:rsidR="00E62A8C" w:rsidRPr="00690447">
        <w:rPr>
          <w:rFonts w:ascii="Arial" w:hAnsi="Arial" w:cs="Arial"/>
          <w:b/>
          <w:bCs/>
          <w:sz w:val="24"/>
        </w:rPr>
        <w:tab/>
      </w:r>
      <w:r w:rsidR="00E62A8C" w:rsidRPr="00690447">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Pr>
          <w:rFonts w:ascii="Arial" w:hAnsi="Arial" w:cs="Arial"/>
          <w:b/>
          <w:bCs/>
          <w:sz w:val="24"/>
        </w:rPr>
        <w:tab/>
      </w:r>
      <w:r w:rsidR="00E62A8C" w:rsidRPr="00690447">
        <w:rPr>
          <w:rFonts w:ascii="Arial" w:hAnsi="Arial" w:cs="Arial"/>
          <w:b/>
          <w:bCs/>
          <w:sz w:val="24"/>
        </w:rPr>
        <w:t>R1-</w:t>
      </w:r>
      <w:r w:rsidR="00DF31D5">
        <w:rPr>
          <w:rFonts w:ascii="Arial" w:hAnsi="Arial" w:cs="Arial"/>
          <w:b/>
          <w:bCs/>
          <w:sz w:val="24"/>
        </w:rPr>
        <w:t>17</w:t>
      </w:r>
      <w:r w:rsidR="007D1E02">
        <w:rPr>
          <w:rFonts w:ascii="Arial" w:hAnsi="Arial" w:cs="Arial"/>
          <w:b/>
          <w:bCs/>
          <w:sz w:val="24"/>
        </w:rPr>
        <w:t>1</w:t>
      </w:r>
      <w:bookmarkStart w:id="0" w:name="_GoBack"/>
      <w:bookmarkEnd w:id="0"/>
      <w:r w:rsidR="007D1E02">
        <w:rPr>
          <w:rFonts w:ascii="Arial" w:hAnsi="Arial" w:cs="Arial"/>
          <w:b/>
          <w:bCs/>
          <w:sz w:val="24"/>
        </w:rPr>
        <w:t>7363</w:t>
      </w:r>
    </w:p>
    <w:p w14:paraId="5518AD52" w14:textId="16BAEC6E" w:rsidR="00E62A8C" w:rsidRPr="00690447" w:rsidRDefault="00F55E8D" w:rsidP="00E62A8C">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13F890AB" w14:textId="77777777" w:rsidR="008B4F28" w:rsidRPr="00E62A8C"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FCDE94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62A8C">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194375F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30792">
        <w:rPr>
          <w:rFonts w:ascii="Arial" w:hAnsi="Arial" w:cs="Arial"/>
          <w:b/>
          <w:sz w:val="24"/>
          <w:lang w:val="en-US"/>
        </w:rPr>
        <w:t>7</w:t>
      </w:r>
      <w:r w:rsidR="00E62A8C">
        <w:rPr>
          <w:rFonts w:ascii="Arial" w:hAnsi="Arial" w:cs="Arial"/>
          <w:b/>
          <w:sz w:val="24"/>
          <w:lang w:val="en-US"/>
        </w:rPr>
        <w:t>.</w:t>
      </w:r>
      <w:r w:rsidR="00D3527F">
        <w:rPr>
          <w:rFonts w:ascii="Arial" w:hAnsi="Arial" w:cs="Arial"/>
          <w:b/>
          <w:sz w:val="24"/>
          <w:lang w:val="en-US"/>
        </w:rPr>
        <w:t>2.1.</w:t>
      </w:r>
      <w:r w:rsidR="008A23F1">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030243EC" w14:textId="77777777" w:rsidR="00B36AD7" w:rsidRDefault="00E86389" w:rsidP="00026770">
      <w:pPr>
        <w:ind w:firstLine="284"/>
        <w:jc w:val="both"/>
        <w:rPr>
          <w:sz w:val="22"/>
          <w:szCs w:val="22"/>
          <w:lang w:eastAsia="zh-CN"/>
        </w:rPr>
      </w:pPr>
      <w:r>
        <w:rPr>
          <w:rFonts w:hint="eastAsia"/>
          <w:sz w:val="22"/>
          <w:szCs w:val="22"/>
          <w:lang w:eastAsia="zh-CN"/>
        </w:rPr>
        <w:t>In R</w:t>
      </w:r>
      <w:r w:rsidR="00E62A8C">
        <w:rPr>
          <w:sz w:val="22"/>
          <w:szCs w:val="22"/>
          <w:lang w:eastAsia="zh-CN"/>
        </w:rPr>
        <w:t xml:space="preserve">AN1 </w:t>
      </w:r>
      <w:r w:rsidR="00B36AD7">
        <w:rPr>
          <w:sz w:val="22"/>
          <w:szCs w:val="22"/>
          <w:lang w:eastAsia="zh-CN"/>
        </w:rPr>
        <w:t>NR AH #3</w:t>
      </w:r>
      <w:r w:rsidR="00E62A8C">
        <w:rPr>
          <w:sz w:val="22"/>
          <w:szCs w:val="22"/>
          <w:lang w:eastAsia="zh-CN"/>
        </w:rPr>
        <w:t xml:space="preserve"> </w:t>
      </w:r>
      <w:r>
        <w:rPr>
          <w:sz w:val="22"/>
          <w:szCs w:val="22"/>
          <w:lang w:eastAsia="zh-CN"/>
        </w:rPr>
        <w:t xml:space="preserve">meeting, the </w:t>
      </w:r>
      <w:r w:rsidR="00B36AD7">
        <w:rPr>
          <w:sz w:val="22"/>
          <w:szCs w:val="22"/>
          <w:lang w:eastAsia="zh-CN"/>
        </w:rPr>
        <w:t>following working assumption has been achieved.</w:t>
      </w:r>
    </w:p>
    <w:p w14:paraId="3D9AC7F8" w14:textId="77777777" w:rsidR="00B36AD7" w:rsidRPr="00B36AD7" w:rsidRDefault="00B36AD7" w:rsidP="00B36AD7">
      <w:pPr>
        <w:rPr>
          <w:b/>
          <w:i/>
          <w:sz w:val="22"/>
          <w:szCs w:val="22"/>
          <w:lang w:val="en-US" w:eastAsia="x-none"/>
        </w:rPr>
      </w:pPr>
      <w:r w:rsidRPr="00B36AD7">
        <w:rPr>
          <w:b/>
          <w:i/>
          <w:sz w:val="22"/>
          <w:szCs w:val="22"/>
          <w:highlight w:val="darkYellow"/>
          <w:lang w:val="en-US" w:eastAsia="x-none"/>
        </w:rPr>
        <w:t>Working assumption</w:t>
      </w:r>
    </w:p>
    <w:p w14:paraId="75F65A78" w14:textId="77777777" w:rsidR="00B36AD7" w:rsidRPr="00B36AD7" w:rsidRDefault="00B36AD7" w:rsidP="00B36AD7">
      <w:pPr>
        <w:numPr>
          <w:ilvl w:val="0"/>
          <w:numId w:val="32"/>
        </w:numPr>
        <w:tabs>
          <w:tab w:val="left" w:pos="1440"/>
        </w:tabs>
        <w:overflowPunct/>
        <w:autoSpaceDE/>
        <w:autoSpaceDN/>
        <w:adjustRightInd/>
        <w:spacing w:after="0"/>
        <w:textAlignment w:val="auto"/>
        <w:rPr>
          <w:i/>
          <w:sz w:val="22"/>
          <w:szCs w:val="22"/>
          <w:lang w:val="en-US" w:eastAsia="x-none"/>
        </w:rPr>
      </w:pPr>
      <w:r w:rsidRPr="00B36AD7">
        <w:rPr>
          <w:i/>
          <w:sz w:val="22"/>
          <w:szCs w:val="22"/>
          <w:lang w:val="en-US" w:eastAsia="x-none"/>
        </w:rPr>
        <w:t>For PUSCH precoder determination using wideband SRI only indication in non-codebook based UL MIMO</w:t>
      </w:r>
      <w:r w:rsidRPr="00B36AD7">
        <w:rPr>
          <w:i/>
          <w:sz w:val="22"/>
          <w:szCs w:val="22"/>
          <w:lang w:eastAsia="x-none"/>
        </w:rPr>
        <w:t xml:space="preserve">, only one SRS port per SRS resource can be configured </w:t>
      </w:r>
    </w:p>
    <w:p w14:paraId="06F9A495" w14:textId="77777777" w:rsidR="00B36AD7" w:rsidRPr="00B36AD7" w:rsidRDefault="00B36AD7" w:rsidP="00B36AD7">
      <w:pPr>
        <w:numPr>
          <w:ilvl w:val="1"/>
          <w:numId w:val="32"/>
        </w:numPr>
        <w:tabs>
          <w:tab w:val="left" w:pos="1440"/>
        </w:tabs>
        <w:overflowPunct/>
        <w:autoSpaceDE/>
        <w:autoSpaceDN/>
        <w:adjustRightInd/>
        <w:spacing w:after="0"/>
        <w:textAlignment w:val="auto"/>
        <w:rPr>
          <w:i/>
          <w:sz w:val="22"/>
          <w:szCs w:val="22"/>
          <w:lang w:val="en-US" w:eastAsia="x-none"/>
        </w:rPr>
      </w:pPr>
      <w:r w:rsidRPr="00B36AD7">
        <w:rPr>
          <w:i/>
          <w:sz w:val="22"/>
          <w:szCs w:val="22"/>
          <w:lang w:val="en-US" w:eastAsia="x-none"/>
        </w:rPr>
        <w:t>Note: to support high rank transmission, multiple SRS resources should be indicated</w:t>
      </w:r>
    </w:p>
    <w:p w14:paraId="322BACB1" w14:textId="77777777" w:rsidR="00B36AD7" w:rsidRPr="00B36AD7" w:rsidRDefault="00B36AD7" w:rsidP="00B36AD7">
      <w:pPr>
        <w:numPr>
          <w:ilvl w:val="1"/>
          <w:numId w:val="32"/>
        </w:numPr>
        <w:tabs>
          <w:tab w:val="left" w:pos="1440"/>
        </w:tabs>
        <w:overflowPunct/>
        <w:autoSpaceDE/>
        <w:autoSpaceDN/>
        <w:adjustRightInd/>
        <w:spacing w:after="0"/>
        <w:textAlignment w:val="auto"/>
        <w:rPr>
          <w:i/>
          <w:sz w:val="22"/>
          <w:szCs w:val="22"/>
          <w:lang w:val="en-US" w:eastAsia="x-none"/>
        </w:rPr>
      </w:pPr>
      <w:r w:rsidRPr="00B36AD7">
        <w:rPr>
          <w:i/>
          <w:sz w:val="22"/>
          <w:szCs w:val="22"/>
          <w:lang w:val="en-US" w:eastAsia="x-none"/>
        </w:rPr>
        <w:t>FFS: subband SRI indication</w:t>
      </w:r>
    </w:p>
    <w:p w14:paraId="508CBD7E" w14:textId="77777777" w:rsidR="00B36AD7" w:rsidRPr="00B36AD7" w:rsidRDefault="00B36AD7" w:rsidP="00B36AD7">
      <w:pPr>
        <w:numPr>
          <w:ilvl w:val="1"/>
          <w:numId w:val="32"/>
        </w:numPr>
        <w:tabs>
          <w:tab w:val="left" w:pos="1440"/>
        </w:tabs>
        <w:overflowPunct/>
        <w:autoSpaceDE/>
        <w:autoSpaceDN/>
        <w:adjustRightInd/>
        <w:spacing w:after="0"/>
        <w:textAlignment w:val="auto"/>
        <w:rPr>
          <w:i/>
          <w:sz w:val="22"/>
          <w:szCs w:val="22"/>
          <w:lang w:val="en-US" w:eastAsia="x-none"/>
        </w:rPr>
      </w:pPr>
      <w:r w:rsidRPr="00B36AD7">
        <w:rPr>
          <w:i/>
          <w:sz w:val="22"/>
          <w:szCs w:val="22"/>
          <w:lang w:val="en-US" w:eastAsia="x-none"/>
        </w:rPr>
        <w:t>FFS: Details of DCI for wideband SRI indication</w:t>
      </w:r>
    </w:p>
    <w:p w14:paraId="424E77A5" w14:textId="77777777" w:rsidR="00B36AD7" w:rsidRPr="00B36AD7" w:rsidRDefault="00B36AD7" w:rsidP="00B36AD7">
      <w:pPr>
        <w:numPr>
          <w:ilvl w:val="1"/>
          <w:numId w:val="32"/>
        </w:numPr>
        <w:tabs>
          <w:tab w:val="left" w:pos="1440"/>
        </w:tabs>
        <w:overflowPunct/>
        <w:autoSpaceDE/>
        <w:autoSpaceDN/>
        <w:adjustRightInd/>
        <w:spacing w:after="0"/>
        <w:textAlignment w:val="auto"/>
        <w:rPr>
          <w:i/>
          <w:sz w:val="22"/>
          <w:szCs w:val="22"/>
          <w:lang w:val="en-US" w:eastAsia="x-none"/>
        </w:rPr>
      </w:pPr>
      <w:r w:rsidRPr="00B36AD7">
        <w:rPr>
          <w:i/>
          <w:sz w:val="22"/>
          <w:szCs w:val="22"/>
          <w:lang w:val="en-US" w:eastAsia="x-none"/>
        </w:rPr>
        <w:t>FFS: Details on how to reduce the overhead and SRS resource</w:t>
      </w:r>
    </w:p>
    <w:p w14:paraId="28D0451C" w14:textId="25EC7329"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2378D5">
        <w:rPr>
          <w:sz w:val="22"/>
          <w:szCs w:val="22"/>
          <w:lang w:eastAsia="zh-CN"/>
        </w:rPr>
        <w:t xml:space="preserve">remaining issues for </w:t>
      </w:r>
      <w:r w:rsidR="00D341BF">
        <w:rPr>
          <w:sz w:val="22"/>
          <w:szCs w:val="22"/>
          <w:lang w:eastAsia="zh-CN"/>
        </w:rPr>
        <w:t>non-</w:t>
      </w:r>
      <w:r>
        <w:rPr>
          <w:sz w:val="22"/>
          <w:szCs w:val="22"/>
          <w:lang w:eastAsia="zh-CN"/>
        </w:rPr>
        <w:t xml:space="preserve">codebook </w:t>
      </w:r>
      <w:r w:rsidR="00D341BF">
        <w:rPr>
          <w:sz w:val="22"/>
          <w:szCs w:val="22"/>
          <w:lang w:eastAsia="zh-CN"/>
        </w:rPr>
        <w:t xml:space="preserve">based transmission including </w:t>
      </w:r>
      <w:r w:rsidR="002378D5">
        <w:rPr>
          <w:sz w:val="22"/>
          <w:szCs w:val="22"/>
          <w:lang w:eastAsia="zh-CN"/>
        </w:rPr>
        <w:t xml:space="preserve">DL RS for measurement and </w:t>
      </w:r>
      <w:r w:rsidR="00D341BF">
        <w:rPr>
          <w:sz w:val="22"/>
          <w:szCs w:val="22"/>
          <w:lang w:eastAsia="zh-CN"/>
        </w:rPr>
        <w:t xml:space="preserve">the </w:t>
      </w:r>
      <w:r w:rsidR="00CB5384">
        <w:rPr>
          <w:sz w:val="22"/>
          <w:szCs w:val="22"/>
          <w:lang w:eastAsia="zh-CN"/>
        </w:rPr>
        <w:t>control signalling</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2EB0DB2" w:rsidR="006731E5" w:rsidRPr="006731E5" w:rsidRDefault="00FC6191" w:rsidP="00FC6191">
      <w:pPr>
        <w:pStyle w:val="Heading2"/>
        <w:rPr>
          <w:lang w:val="en-US" w:eastAsia="zh-CN"/>
        </w:rPr>
      </w:pPr>
      <w:r>
        <w:rPr>
          <w:lang w:val="en-US" w:eastAsia="zh-CN"/>
        </w:rPr>
        <w:t xml:space="preserve">2.1 </w:t>
      </w:r>
      <w:r w:rsidR="002378D5">
        <w:rPr>
          <w:lang w:val="en-US" w:eastAsia="zh-CN"/>
        </w:rPr>
        <w:t>DL RS for measurement</w:t>
      </w:r>
    </w:p>
    <w:p w14:paraId="1EBAA745" w14:textId="10C2CAF3" w:rsidR="008A23F1" w:rsidRDefault="00260A84" w:rsidP="00746FE0">
      <w:pPr>
        <w:ind w:firstLine="284"/>
        <w:jc w:val="both"/>
        <w:rPr>
          <w:sz w:val="22"/>
          <w:szCs w:val="22"/>
          <w:lang w:val="en-US" w:eastAsia="zh-CN"/>
        </w:rPr>
      </w:pPr>
      <w:r>
        <w:rPr>
          <w:sz w:val="22"/>
          <w:szCs w:val="22"/>
          <w:lang w:val="en-US" w:eastAsia="zh-CN"/>
        </w:rPr>
        <w:t xml:space="preserve">In RAN1 NR </w:t>
      </w:r>
      <w:r w:rsidR="00A37978">
        <w:rPr>
          <w:sz w:val="22"/>
          <w:szCs w:val="22"/>
          <w:lang w:val="en-US" w:eastAsia="zh-CN"/>
        </w:rPr>
        <w:t>January</w:t>
      </w:r>
      <w:r>
        <w:rPr>
          <w:sz w:val="22"/>
          <w:szCs w:val="22"/>
          <w:lang w:val="en-US" w:eastAsia="zh-CN"/>
        </w:rPr>
        <w:t xml:space="preserve"> meeting, it has been agreed that the gNB should identify the DL RS for UE to measure the channel and derive the UL precoder. The following options could be taken into account:</w:t>
      </w:r>
    </w:p>
    <w:p w14:paraId="1BE7AC36" w14:textId="72EA3A7D" w:rsidR="00260A84" w:rsidRDefault="00260A84" w:rsidP="00746FE0">
      <w:pPr>
        <w:ind w:firstLine="284"/>
        <w:jc w:val="both"/>
        <w:rPr>
          <w:sz w:val="22"/>
          <w:szCs w:val="22"/>
          <w:lang w:val="en-US" w:eastAsia="zh-CN"/>
        </w:rPr>
      </w:pPr>
      <w:r>
        <w:rPr>
          <w:sz w:val="22"/>
          <w:szCs w:val="22"/>
          <w:lang w:val="en-US" w:eastAsia="zh-CN"/>
        </w:rPr>
        <w:t>Option 1: SS-block for measurement</w:t>
      </w:r>
    </w:p>
    <w:p w14:paraId="3D294288" w14:textId="4A5E4531" w:rsidR="00260A84" w:rsidRDefault="00260A84" w:rsidP="00746FE0">
      <w:pPr>
        <w:ind w:firstLine="284"/>
        <w:jc w:val="both"/>
        <w:rPr>
          <w:sz w:val="22"/>
          <w:szCs w:val="22"/>
          <w:lang w:val="en-US" w:eastAsia="zh-CN"/>
        </w:rPr>
      </w:pPr>
      <w:r>
        <w:rPr>
          <w:sz w:val="22"/>
          <w:szCs w:val="22"/>
          <w:lang w:val="en-US" w:eastAsia="zh-CN"/>
        </w:rPr>
        <w:t>Option 2: CSI-RS for measurement</w:t>
      </w:r>
    </w:p>
    <w:p w14:paraId="127C7B6C" w14:textId="31E4903E" w:rsidR="00E86389" w:rsidRDefault="00260A84" w:rsidP="00746FE0">
      <w:pPr>
        <w:ind w:firstLine="284"/>
        <w:jc w:val="both"/>
        <w:rPr>
          <w:sz w:val="22"/>
          <w:szCs w:val="22"/>
          <w:lang w:val="en-US" w:eastAsia="zh-CN"/>
        </w:rPr>
      </w:pPr>
      <w:r>
        <w:rPr>
          <w:sz w:val="22"/>
          <w:szCs w:val="22"/>
          <w:lang w:val="en-US" w:eastAsia="zh-CN"/>
        </w:rPr>
        <w:t>The SS-block can only be transmitted in 24 RBs, so it is not easy for a UE to measure the wideband channel by SS-block. Therefore SS block can only be applied to the case when the bandwidth for a UE’s bandwidth part (BWP) is equal to 24 RB. To get wideband channel, the CSI-RS should be recommended. The gNB should configure the CRI for some SRS resources.</w:t>
      </w:r>
    </w:p>
    <w:p w14:paraId="454FFAE9" w14:textId="27655EB7" w:rsidR="00976624"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00680BCF">
        <w:rPr>
          <w:b/>
          <w:i/>
          <w:sz w:val="22"/>
          <w:szCs w:val="22"/>
          <w:lang w:val="en-US" w:eastAsia="zh-CN"/>
        </w:rPr>
        <w:t xml:space="preserve">1: </w:t>
      </w:r>
      <w:r w:rsidR="00260A84">
        <w:rPr>
          <w:b/>
          <w:i/>
          <w:sz w:val="22"/>
          <w:szCs w:val="22"/>
          <w:lang w:val="en-US" w:eastAsia="zh-CN"/>
        </w:rPr>
        <w:t xml:space="preserve">CSI-RS should be used for </w:t>
      </w:r>
      <w:r w:rsidR="00A37978">
        <w:rPr>
          <w:b/>
          <w:i/>
          <w:sz w:val="22"/>
          <w:szCs w:val="22"/>
          <w:lang w:val="en-US" w:eastAsia="zh-CN"/>
        </w:rPr>
        <w:t>measurement and the CRI can be configured for some SRS resources</w:t>
      </w:r>
      <w:r w:rsidR="00680BCF">
        <w:rPr>
          <w:b/>
          <w:i/>
          <w:sz w:val="22"/>
          <w:szCs w:val="22"/>
          <w:lang w:val="en-US" w:eastAsia="zh-CN"/>
        </w:rPr>
        <w:t>.</w:t>
      </w:r>
    </w:p>
    <w:p w14:paraId="77F5DB57" w14:textId="13ADBD92" w:rsidR="00D11F72" w:rsidRPr="00D11F72" w:rsidRDefault="00FC6191" w:rsidP="00FC6191">
      <w:pPr>
        <w:pStyle w:val="Heading2"/>
        <w:rPr>
          <w:lang w:val="en-US" w:eastAsia="zh-CN"/>
        </w:rPr>
      </w:pPr>
      <w:r>
        <w:rPr>
          <w:lang w:val="en-US" w:eastAsia="zh-CN"/>
        </w:rPr>
        <w:t xml:space="preserve">2.2 </w:t>
      </w:r>
      <w:r w:rsidR="00B36AD7">
        <w:rPr>
          <w:lang w:val="en-US" w:eastAsia="zh-CN"/>
        </w:rPr>
        <w:t>SRS resource configuration</w:t>
      </w:r>
      <w:r w:rsidR="00680BCF">
        <w:rPr>
          <w:lang w:val="en-US" w:eastAsia="zh-CN"/>
        </w:rPr>
        <w:t xml:space="preserve"> </w:t>
      </w:r>
    </w:p>
    <w:p w14:paraId="0B4E4191" w14:textId="23FE7BFC" w:rsidR="00B36AD7" w:rsidRDefault="00B36AD7" w:rsidP="007A7A14">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the SRS resource configuration, there can be the following options:</w:t>
      </w:r>
    </w:p>
    <w:p w14:paraId="540D7997" w14:textId="792B203E" w:rsidR="00B36AD7" w:rsidRPr="00B36AD7" w:rsidRDefault="00B36AD7" w:rsidP="00B36AD7">
      <w:pPr>
        <w:pStyle w:val="ListParagraph"/>
        <w:numPr>
          <w:ilvl w:val="0"/>
          <w:numId w:val="33"/>
        </w:numPr>
        <w:jc w:val="both"/>
        <w:rPr>
          <w:lang w:eastAsia="zh-CN"/>
        </w:rPr>
      </w:pPr>
      <w:r>
        <w:rPr>
          <w:rFonts w:eastAsiaTheme="minorEastAsia" w:hint="eastAsia"/>
          <w:lang w:eastAsia="zh-CN"/>
        </w:rPr>
        <w:t>Option 1</w:t>
      </w:r>
      <w:r>
        <w:rPr>
          <w:rFonts w:eastAsiaTheme="minorEastAsia"/>
          <w:lang w:eastAsia="zh-CN"/>
        </w:rPr>
        <w:t>: each SRS resource has 1 antenna port</w:t>
      </w:r>
    </w:p>
    <w:p w14:paraId="0680F4C5" w14:textId="083F7CC8" w:rsidR="00B36AD7" w:rsidRPr="00B36AD7" w:rsidRDefault="00B36AD7" w:rsidP="00B36AD7">
      <w:pPr>
        <w:pStyle w:val="ListParagraph"/>
        <w:numPr>
          <w:ilvl w:val="0"/>
          <w:numId w:val="33"/>
        </w:numPr>
        <w:jc w:val="both"/>
        <w:rPr>
          <w:lang w:eastAsia="zh-CN"/>
        </w:rPr>
      </w:pPr>
      <w:r>
        <w:rPr>
          <w:rFonts w:eastAsiaTheme="minorEastAsia"/>
          <w:lang w:eastAsia="zh-CN"/>
        </w:rPr>
        <w:t>Option 2: each SRS resource has different number of antenna ports</w:t>
      </w:r>
    </w:p>
    <w:p w14:paraId="06A2C10D" w14:textId="66A57B69" w:rsidR="00B36AD7" w:rsidRDefault="00B36AD7" w:rsidP="007A7A14">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o </w:t>
      </w:r>
      <w:r>
        <w:rPr>
          <w:sz w:val="22"/>
          <w:szCs w:val="22"/>
          <w:lang w:val="en-US" w:eastAsia="zh-CN"/>
        </w:rPr>
        <w:t>support high rank transmission, the gNB can indicate multiple SRIs for option 1. But for option 2, only single SRI is used</w:t>
      </w:r>
      <w:r w:rsidR="000C4403">
        <w:rPr>
          <w:sz w:val="22"/>
          <w:szCs w:val="22"/>
          <w:lang w:val="en-US" w:eastAsia="zh-CN"/>
        </w:rPr>
        <w:t xml:space="preserve">, since the UE can apply precoders with different ranks </w:t>
      </w:r>
      <w:r w:rsidR="000C4403">
        <w:rPr>
          <w:rFonts w:hint="eastAsia"/>
          <w:sz w:val="22"/>
          <w:szCs w:val="22"/>
          <w:lang w:val="en-US" w:eastAsia="zh-CN"/>
        </w:rPr>
        <w:t>in</w:t>
      </w:r>
      <w:r w:rsidR="000C4403">
        <w:rPr>
          <w:sz w:val="22"/>
          <w:szCs w:val="22"/>
          <w:lang w:val="en-US" w:eastAsia="zh-CN"/>
        </w:rPr>
        <w:t xml:space="preserve"> different resources. </w:t>
      </w:r>
      <w:r>
        <w:rPr>
          <w:sz w:val="22"/>
          <w:szCs w:val="22"/>
          <w:lang w:val="en-US" w:eastAsia="zh-CN"/>
        </w:rPr>
        <w:t xml:space="preserve">Currently for SU-MIMO, </w:t>
      </w:r>
      <w:r w:rsidR="000C4403">
        <w:rPr>
          <w:sz w:val="22"/>
          <w:szCs w:val="22"/>
          <w:lang w:val="en-US" w:eastAsia="zh-CN"/>
        </w:rPr>
        <w:t>up to 4 layers are supported. Regarding some forward compatibility, 8 layers may be supported in future. Table 1 illustrates the overhead comparison for the two options.</w:t>
      </w:r>
    </w:p>
    <w:p w14:paraId="57DE3FE0" w14:textId="40EF8680" w:rsidR="000C4403" w:rsidRPr="00777328" w:rsidRDefault="000C4403" w:rsidP="005653F5">
      <w:pPr>
        <w:ind w:firstLine="284"/>
        <w:jc w:val="center"/>
        <w:rPr>
          <w:b/>
          <w:sz w:val="22"/>
          <w:szCs w:val="22"/>
          <w:lang w:val="en-US" w:eastAsia="zh-CN"/>
        </w:rPr>
      </w:pPr>
      <w:r w:rsidRPr="00777328">
        <w:rPr>
          <w:b/>
          <w:sz w:val="22"/>
          <w:szCs w:val="22"/>
          <w:lang w:val="en-US" w:eastAsia="zh-CN"/>
        </w:rPr>
        <w:lastRenderedPageBreak/>
        <w:t>Table 1: Overhead comparison between two options</w:t>
      </w:r>
    </w:p>
    <w:tbl>
      <w:tblPr>
        <w:tblStyle w:val="GridTable4-Accent5"/>
        <w:tblW w:w="0" w:type="auto"/>
        <w:jc w:val="center"/>
        <w:tblLook w:val="04A0" w:firstRow="1" w:lastRow="0" w:firstColumn="1" w:lastColumn="0" w:noHBand="0" w:noVBand="1"/>
      </w:tblPr>
      <w:tblGrid>
        <w:gridCol w:w="1795"/>
        <w:gridCol w:w="2688"/>
        <w:gridCol w:w="1222"/>
        <w:gridCol w:w="1222"/>
      </w:tblGrid>
      <w:tr w:rsidR="000C4403" w14:paraId="46F7802D" w14:textId="77777777" w:rsidTr="005653F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06C73B31" w14:textId="107E2057" w:rsidR="000C4403" w:rsidRDefault="000C4403" w:rsidP="007A7A14">
            <w:pPr>
              <w:jc w:val="both"/>
              <w:rPr>
                <w:sz w:val="22"/>
                <w:szCs w:val="22"/>
                <w:lang w:val="en-US" w:eastAsia="zh-CN"/>
              </w:rPr>
            </w:pPr>
            <w:r>
              <w:rPr>
                <w:sz w:val="22"/>
                <w:szCs w:val="22"/>
                <w:lang w:val="en-US" w:eastAsia="zh-CN"/>
              </w:rPr>
              <w:t>M</w:t>
            </w:r>
            <w:r>
              <w:rPr>
                <w:rFonts w:hint="eastAsia"/>
                <w:sz w:val="22"/>
                <w:szCs w:val="22"/>
                <w:lang w:val="en-US" w:eastAsia="zh-CN"/>
              </w:rPr>
              <w:t>axim</w:t>
            </w:r>
            <w:r>
              <w:rPr>
                <w:sz w:val="22"/>
                <w:szCs w:val="22"/>
                <w:lang w:val="en-US" w:eastAsia="zh-CN"/>
              </w:rPr>
              <w:t>um number of layers</w:t>
            </w:r>
          </w:p>
        </w:tc>
        <w:tc>
          <w:tcPr>
            <w:tcW w:w="2688" w:type="dxa"/>
          </w:tcPr>
          <w:p w14:paraId="24367988" w14:textId="7F87B911" w:rsidR="000C4403" w:rsidRDefault="005653F5" w:rsidP="007A7A14">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C</w:t>
            </w:r>
            <w:r>
              <w:rPr>
                <w:sz w:val="22"/>
                <w:szCs w:val="22"/>
                <w:lang w:val="en-US" w:eastAsia="zh-CN"/>
              </w:rPr>
              <w:t>onfigurations</w:t>
            </w:r>
          </w:p>
        </w:tc>
        <w:tc>
          <w:tcPr>
            <w:tcW w:w="1222" w:type="dxa"/>
          </w:tcPr>
          <w:p w14:paraId="58E11FC0" w14:textId="69C20380" w:rsidR="000C4403" w:rsidRDefault="005653F5" w:rsidP="007A7A14">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O</w:t>
            </w:r>
            <w:r>
              <w:rPr>
                <w:rFonts w:hint="eastAsia"/>
                <w:sz w:val="22"/>
                <w:szCs w:val="22"/>
                <w:lang w:val="en-US" w:eastAsia="zh-CN"/>
              </w:rPr>
              <w:t>p</w:t>
            </w:r>
            <w:r>
              <w:rPr>
                <w:sz w:val="22"/>
                <w:szCs w:val="22"/>
                <w:lang w:val="en-US" w:eastAsia="zh-CN"/>
              </w:rPr>
              <w:t>tion 1</w:t>
            </w:r>
          </w:p>
        </w:tc>
        <w:tc>
          <w:tcPr>
            <w:tcW w:w="1222" w:type="dxa"/>
          </w:tcPr>
          <w:p w14:paraId="4F8BF309" w14:textId="7B1112E4" w:rsidR="000C4403" w:rsidRDefault="005653F5" w:rsidP="007A7A14">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Opt</w:t>
            </w:r>
            <w:r>
              <w:rPr>
                <w:sz w:val="22"/>
                <w:szCs w:val="22"/>
                <w:lang w:val="en-US" w:eastAsia="zh-CN"/>
              </w:rPr>
              <w:t>ion 2</w:t>
            </w:r>
          </w:p>
        </w:tc>
      </w:tr>
      <w:tr w:rsidR="000C4403" w14:paraId="5187BC59" w14:textId="77777777" w:rsidTr="005653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vMerge w:val="restart"/>
          </w:tcPr>
          <w:p w14:paraId="1FFD2B5F" w14:textId="4AA15515" w:rsidR="000C4403" w:rsidRDefault="000C4403" w:rsidP="007A7A14">
            <w:pPr>
              <w:jc w:val="both"/>
              <w:rPr>
                <w:sz w:val="22"/>
                <w:szCs w:val="22"/>
                <w:lang w:val="en-US" w:eastAsia="zh-CN"/>
              </w:rPr>
            </w:pPr>
            <w:r>
              <w:rPr>
                <w:sz w:val="22"/>
                <w:szCs w:val="22"/>
                <w:lang w:val="en-US" w:eastAsia="zh-CN"/>
              </w:rPr>
              <w:t>4</w:t>
            </w:r>
          </w:p>
        </w:tc>
        <w:tc>
          <w:tcPr>
            <w:tcW w:w="2688" w:type="dxa"/>
          </w:tcPr>
          <w:p w14:paraId="4E759A00" w14:textId="7DE6F1B8"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N</w:t>
            </w:r>
            <w:r>
              <w:rPr>
                <w:rFonts w:hint="eastAsia"/>
                <w:sz w:val="22"/>
                <w:szCs w:val="22"/>
                <w:lang w:val="en-US" w:eastAsia="zh-CN"/>
              </w:rPr>
              <w:t>umber</w:t>
            </w:r>
            <w:r>
              <w:rPr>
                <w:sz w:val="22"/>
                <w:szCs w:val="22"/>
                <w:lang w:val="en-US" w:eastAsia="zh-CN"/>
              </w:rPr>
              <w:t xml:space="preserve"> of bits for SRI(s)</w:t>
            </w:r>
          </w:p>
        </w:tc>
        <w:tc>
          <w:tcPr>
            <w:tcW w:w="1222" w:type="dxa"/>
          </w:tcPr>
          <w:p w14:paraId="10A1DE93" w14:textId="5A655E7E"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4</w:t>
            </w:r>
          </w:p>
        </w:tc>
        <w:tc>
          <w:tcPr>
            <w:tcW w:w="1222" w:type="dxa"/>
          </w:tcPr>
          <w:p w14:paraId="2CE46873" w14:textId="659791BB"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w:t>
            </w:r>
          </w:p>
        </w:tc>
      </w:tr>
      <w:tr w:rsidR="000C4403" w14:paraId="4CEC1DE5" w14:textId="77777777" w:rsidTr="005653F5">
        <w:trPr>
          <w:jc w:val="center"/>
        </w:trPr>
        <w:tc>
          <w:tcPr>
            <w:cnfStyle w:val="001000000000" w:firstRow="0" w:lastRow="0" w:firstColumn="1" w:lastColumn="0" w:oddVBand="0" w:evenVBand="0" w:oddHBand="0" w:evenHBand="0" w:firstRowFirstColumn="0" w:firstRowLastColumn="0" w:lastRowFirstColumn="0" w:lastRowLastColumn="0"/>
            <w:tcW w:w="1795" w:type="dxa"/>
            <w:vMerge/>
          </w:tcPr>
          <w:p w14:paraId="5F51817D" w14:textId="77777777" w:rsidR="000C4403" w:rsidRDefault="000C4403" w:rsidP="007A7A14">
            <w:pPr>
              <w:jc w:val="both"/>
              <w:rPr>
                <w:sz w:val="22"/>
                <w:szCs w:val="22"/>
                <w:lang w:val="en-US" w:eastAsia="zh-CN"/>
              </w:rPr>
            </w:pPr>
          </w:p>
        </w:tc>
        <w:tc>
          <w:tcPr>
            <w:tcW w:w="2688" w:type="dxa"/>
          </w:tcPr>
          <w:p w14:paraId="54E18C79" w14:textId="55E34751"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N</w:t>
            </w:r>
            <w:r>
              <w:rPr>
                <w:sz w:val="22"/>
                <w:szCs w:val="22"/>
                <w:lang w:val="en-US" w:eastAsia="zh-CN"/>
              </w:rPr>
              <w:t>umber of SRS resources</w:t>
            </w:r>
          </w:p>
        </w:tc>
        <w:tc>
          <w:tcPr>
            <w:tcW w:w="1222" w:type="dxa"/>
          </w:tcPr>
          <w:p w14:paraId="6BD6E5A8" w14:textId="11D432D2"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4</w:t>
            </w:r>
          </w:p>
        </w:tc>
        <w:tc>
          <w:tcPr>
            <w:tcW w:w="1222" w:type="dxa"/>
          </w:tcPr>
          <w:p w14:paraId="2E3546DB" w14:textId="14AE50BF"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4</w:t>
            </w:r>
          </w:p>
        </w:tc>
      </w:tr>
      <w:tr w:rsidR="000C4403" w14:paraId="17E20ED3" w14:textId="77777777" w:rsidTr="005653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vMerge w:val="restart"/>
          </w:tcPr>
          <w:p w14:paraId="1943A7F8" w14:textId="36E8D47D" w:rsidR="000C4403" w:rsidRDefault="000C4403" w:rsidP="000C2EE5">
            <w:pPr>
              <w:rPr>
                <w:sz w:val="22"/>
                <w:szCs w:val="22"/>
                <w:lang w:val="en-US" w:eastAsia="zh-CN"/>
              </w:rPr>
            </w:pPr>
            <w:r>
              <w:rPr>
                <w:rFonts w:hint="eastAsia"/>
                <w:sz w:val="22"/>
                <w:szCs w:val="22"/>
                <w:lang w:val="en-US" w:eastAsia="zh-CN"/>
              </w:rPr>
              <w:t>8</w:t>
            </w:r>
            <w:r>
              <w:rPr>
                <w:sz w:val="22"/>
                <w:szCs w:val="22"/>
                <w:lang w:val="en-US" w:eastAsia="zh-CN"/>
              </w:rPr>
              <w:t xml:space="preserve"> </w:t>
            </w:r>
          </w:p>
        </w:tc>
        <w:tc>
          <w:tcPr>
            <w:tcW w:w="2688" w:type="dxa"/>
          </w:tcPr>
          <w:p w14:paraId="538F9D66" w14:textId="26F288B6"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N</w:t>
            </w:r>
            <w:r>
              <w:rPr>
                <w:rFonts w:hint="eastAsia"/>
                <w:sz w:val="22"/>
                <w:szCs w:val="22"/>
                <w:lang w:val="en-US" w:eastAsia="zh-CN"/>
              </w:rPr>
              <w:t>umber</w:t>
            </w:r>
            <w:r>
              <w:rPr>
                <w:sz w:val="22"/>
                <w:szCs w:val="22"/>
                <w:lang w:val="en-US" w:eastAsia="zh-CN"/>
              </w:rPr>
              <w:t xml:space="preserve"> of bits for SRI(s)</w:t>
            </w:r>
          </w:p>
        </w:tc>
        <w:tc>
          <w:tcPr>
            <w:tcW w:w="1222" w:type="dxa"/>
          </w:tcPr>
          <w:p w14:paraId="479636C2" w14:textId="0D441756"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6</w:t>
            </w:r>
          </w:p>
        </w:tc>
        <w:tc>
          <w:tcPr>
            <w:tcW w:w="1222" w:type="dxa"/>
          </w:tcPr>
          <w:p w14:paraId="68BF8F1C" w14:textId="74290AFD" w:rsidR="000C4403" w:rsidRDefault="005653F5" w:rsidP="007A7A14">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3</w:t>
            </w:r>
          </w:p>
        </w:tc>
      </w:tr>
      <w:tr w:rsidR="000C4403" w14:paraId="342E640B" w14:textId="77777777" w:rsidTr="005653F5">
        <w:trPr>
          <w:jc w:val="center"/>
        </w:trPr>
        <w:tc>
          <w:tcPr>
            <w:cnfStyle w:val="001000000000" w:firstRow="0" w:lastRow="0" w:firstColumn="1" w:lastColumn="0" w:oddVBand="0" w:evenVBand="0" w:oddHBand="0" w:evenHBand="0" w:firstRowFirstColumn="0" w:firstRowLastColumn="0" w:lastRowFirstColumn="0" w:lastRowLastColumn="0"/>
            <w:tcW w:w="1795" w:type="dxa"/>
            <w:vMerge/>
          </w:tcPr>
          <w:p w14:paraId="565F6C79" w14:textId="77777777" w:rsidR="000C4403" w:rsidRDefault="000C4403" w:rsidP="007A7A14">
            <w:pPr>
              <w:jc w:val="both"/>
              <w:rPr>
                <w:sz w:val="22"/>
                <w:szCs w:val="22"/>
                <w:lang w:val="en-US" w:eastAsia="zh-CN"/>
              </w:rPr>
            </w:pPr>
          </w:p>
        </w:tc>
        <w:tc>
          <w:tcPr>
            <w:tcW w:w="2688" w:type="dxa"/>
          </w:tcPr>
          <w:p w14:paraId="25D14429" w14:textId="4B338077"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N</w:t>
            </w:r>
            <w:r>
              <w:rPr>
                <w:sz w:val="22"/>
                <w:szCs w:val="22"/>
                <w:lang w:val="en-US" w:eastAsia="zh-CN"/>
              </w:rPr>
              <w:t>umber of SRS resources</w:t>
            </w:r>
          </w:p>
        </w:tc>
        <w:tc>
          <w:tcPr>
            <w:tcW w:w="1222" w:type="dxa"/>
          </w:tcPr>
          <w:p w14:paraId="6830A971" w14:textId="7E5C7A89"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8</w:t>
            </w:r>
          </w:p>
        </w:tc>
        <w:tc>
          <w:tcPr>
            <w:tcW w:w="1222" w:type="dxa"/>
          </w:tcPr>
          <w:p w14:paraId="2DE13802" w14:textId="3CD5E117" w:rsidR="000C4403" w:rsidRDefault="005653F5" w:rsidP="007A7A14">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8</w:t>
            </w:r>
          </w:p>
        </w:tc>
      </w:tr>
    </w:tbl>
    <w:p w14:paraId="4007B73D" w14:textId="77777777" w:rsidR="000C4403" w:rsidRDefault="000C4403" w:rsidP="007A7A14">
      <w:pPr>
        <w:ind w:firstLine="284"/>
        <w:jc w:val="both"/>
        <w:rPr>
          <w:sz w:val="22"/>
          <w:szCs w:val="22"/>
          <w:lang w:val="en-US" w:eastAsia="zh-CN"/>
        </w:rPr>
      </w:pPr>
    </w:p>
    <w:p w14:paraId="0813F51A" w14:textId="50561578" w:rsidR="005653F5" w:rsidRDefault="005653F5" w:rsidP="007A7A14">
      <w:pPr>
        <w:ind w:firstLine="284"/>
        <w:jc w:val="both"/>
        <w:rPr>
          <w:sz w:val="22"/>
          <w:szCs w:val="22"/>
          <w:lang w:val="en-US" w:eastAsia="zh-CN"/>
        </w:rPr>
      </w:pPr>
      <w:r>
        <w:rPr>
          <w:sz w:val="22"/>
          <w:szCs w:val="22"/>
          <w:lang w:val="en-US" w:eastAsia="zh-CN"/>
        </w:rPr>
        <w:t>I</w:t>
      </w:r>
      <w:r>
        <w:rPr>
          <w:rFonts w:hint="eastAsia"/>
          <w:sz w:val="22"/>
          <w:szCs w:val="22"/>
          <w:lang w:val="en-US" w:eastAsia="zh-CN"/>
        </w:rPr>
        <w:t>t</w:t>
      </w:r>
      <w:r>
        <w:rPr>
          <w:sz w:val="22"/>
          <w:szCs w:val="22"/>
          <w:lang w:val="en-US" w:eastAsia="zh-CN"/>
        </w:rPr>
        <w:t xml:space="preserve"> can be observed that option 1 would require more bits in DCI. </w:t>
      </w:r>
      <w:r w:rsidR="00777328">
        <w:rPr>
          <w:sz w:val="22"/>
          <w:szCs w:val="22"/>
          <w:lang w:val="en-US" w:eastAsia="zh-CN"/>
        </w:rPr>
        <w:t>Further another issue for option 1 is that to support high rank transmission, the precoders for high rank transmission may not be the best precoder for low rank transmission. Figure 1 illustrate one example for this potential issue.</w:t>
      </w:r>
    </w:p>
    <w:p w14:paraId="37AFD129" w14:textId="0224180A" w:rsidR="00777328" w:rsidRDefault="00777328" w:rsidP="00B5558E">
      <w:pPr>
        <w:ind w:firstLine="284"/>
        <w:jc w:val="center"/>
        <w:rPr>
          <w:sz w:val="22"/>
          <w:szCs w:val="22"/>
          <w:lang w:val="en-US" w:eastAsia="zh-CN"/>
        </w:rPr>
      </w:pPr>
      <w:r>
        <w:object w:dxaOrig="5424" w:dyaOrig="4200" w14:anchorId="3EBC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210pt" o:ole="">
            <v:imagedata r:id="rId11" o:title=""/>
          </v:shape>
          <o:OLEObject Type="Embed" ProgID="Visio.Drawing.15" ShapeID="_x0000_i1025" DrawAspect="Content" ObjectID="_1568268090" r:id="rId12"/>
        </w:object>
      </w:r>
    </w:p>
    <w:p w14:paraId="3DBAE4AA" w14:textId="735FEFFA" w:rsidR="00B5558E" w:rsidRPr="00B5558E" w:rsidRDefault="00B5558E" w:rsidP="00B5558E">
      <w:pPr>
        <w:ind w:firstLine="284"/>
        <w:jc w:val="center"/>
        <w:rPr>
          <w:b/>
          <w:sz w:val="22"/>
          <w:szCs w:val="22"/>
          <w:lang w:val="en-US" w:eastAsia="zh-CN"/>
        </w:rPr>
      </w:pPr>
      <w:r w:rsidRPr="00B5558E">
        <w:rPr>
          <w:rFonts w:hint="eastAsia"/>
          <w:b/>
          <w:sz w:val="22"/>
          <w:szCs w:val="22"/>
          <w:lang w:val="en-US" w:eastAsia="zh-CN"/>
        </w:rPr>
        <w:t>Figure 1</w:t>
      </w:r>
      <w:r w:rsidRPr="00B5558E">
        <w:rPr>
          <w:b/>
          <w:sz w:val="22"/>
          <w:szCs w:val="22"/>
          <w:lang w:val="en-US" w:eastAsia="zh-CN"/>
        </w:rPr>
        <w:t>: one example for potential issue of option 1</w:t>
      </w:r>
    </w:p>
    <w:p w14:paraId="4DCA6185" w14:textId="39E3678C" w:rsidR="000C4403" w:rsidRDefault="00777328" w:rsidP="007A7A14">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o </w:t>
      </w:r>
      <w:r w:rsidR="00B5558E">
        <w:rPr>
          <w:sz w:val="22"/>
          <w:szCs w:val="22"/>
          <w:lang w:val="en-US" w:eastAsia="zh-CN"/>
        </w:rPr>
        <w:t>reduce the overhead of SRI(s), it is better to have some SRS resource sub-set restriction, which can bring in some restriction for the resources for a particular rank. Given there can be up to 4 layers transmission, Table 2 illustrates the SRS resource sub-set restriction for different ranks. Then the overhead of SRI(s) indication for option 1 can be the same as option 2.</w:t>
      </w:r>
    </w:p>
    <w:p w14:paraId="0A7D9F12" w14:textId="76025B58" w:rsidR="00B5558E" w:rsidRPr="00B5558E" w:rsidRDefault="00B5558E" w:rsidP="00B5558E">
      <w:pPr>
        <w:ind w:firstLine="284"/>
        <w:jc w:val="center"/>
        <w:rPr>
          <w:b/>
          <w:sz w:val="22"/>
          <w:szCs w:val="22"/>
          <w:lang w:val="en-US" w:eastAsia="zh-CN"/>
        </w:rPr>
      </w:pPr>
      <w:r>
        <w:rPr>
          <w:b/>
          <w:sz w:val="22"/>
          <w:szCs w:val="22"/>
          <w:lang w:val="en-US" w:eastAsia="zh-CN"/>
        </w:rPr>
        <w:t>Table 2</w:t>
      </w:r>
      <w:r w:rsidRPr="00B5558E">
        <w:rPr>
          <w:b/>
          <w:sz w:val="22"/>
          <w:szCs w:val="22"/>
          <w:lang w:val="en-US" w:eastAsia="zh-CN"/>
        </w:rPr>
        <w:t>: SRS resource sub-set restriction for different ranks</w:t>
      </w:r>
    </w:p>
    <w:tbl>
      <w:tblPr>
        <w:tblStyle w:val="GridTable4-Accent5"/>
        <w:tblW w:w="0" w:type="auto"/>
        <w:jc w:val="center"/>
        <w:tblLook w:val="04A0" w:firstRow="1" w:lastRow="0" w:firstColumn="1" w:lastColumn="0" w:noHBand="0" w:noVBand="1"/>
      </w:tblPr>
      <w:tblGrid>
        <w:gridCol w:w="1194"/>
        <w:gridCol w:w="3015"/>
      </w:tblGrid>
      <w:tr w:rsidR="00B5558E" w14:paraId="7DED6BB8" w14:textId="77777777" w:rsidTr="00B555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4" w:type="dxa"/>
          </w:tcPr>
          <w:p w14:paraId="0702B23D" w14:textId="7BE96965" w:rsidR="00B5558E" w:rsidRPr="00B5558E" w:rsidRDefault="00B5558E" w:rsidP="00B5558E">
            <w:pPr>
              <w:ind w:firstLine="284"/>
              <w:jc w:val="center"/>
              <w:rPr>
                <w:sz w:val="22"/>
                <w:szCs w:val="22"/>
                <w:lang w:val="en-US" w:eastAsia="zh-CN"/>
              </w:rPr>
            </w:pPr>
            <w:r>
              <w:rPr>
                <w:sz w:val="22"/>
                <w:szCs w:val="22"/>
                <w:lang w:val="en-US" w:eastAsia="zh-CN"/>
              </w:rPr>
              <w:t>Rank</w:t>
            </w:r>
          </w:p>
        </w:tc>
        <w:tc>
          <w:tcPr>
            <w:tcW w:w="3015" w:type="dxa"/>
          </w:tcPr>
          <w:p w14:paraId="0D7C8B01" w14:textId="5A76122A" w:rsidR="00B5558E" w:rsidRPr="00B5558E" w:rsidRDefault="00B5558E" w:rsidP="00B5558E">
            <w:pPr>
              <w:ind w:firstLine="284"/>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Restricted SRS resource</w:t>
            </w:r>
          </w:p>
        </w:tc>
      </w:tr>
      <w:tr w:rsidR="00B5558E" w14:paraId="4591A2A3" w14:textId="77777777" w:rsidTr="00B555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4" w:type="dxa"/>
          </w:tcPr>
          <w:p w14:paraId="184A6131" w14:textId="69BA75A8" w:rsidR="00B5558E" w:rsidRPr="00B5558E" w:rsidRDefault="00B5558E" w:rsidP="00B5558E">
            <w:pPr>
              <w:ind w:firstLine="284"/>
              <w:jc w:val="center"/>
              <w:rPr>
                <w:sz w:val="22"/>
                <w:szCs w:val="22"/>
                <w:lang w:val="en-US" w:eastAsia="zh-CN"/>
              </w:rPr>
            </w:pPr>
            <w:r>
              <w:rPr>
                <w:rFonts w:hint="eastAsia"/>
                <w:sz w:val="22"/>
                <w:szCs w:val="22"/>
                <w:lang w:val="en-US" w:eastAsia="zh-CN"/>
              </w:rPr>
              <w:t>1</w:t>
            </w:r>
          </w:p>
        </w:tc>
        <w:tc>
          <w:tcPr>
            <w:tcW w:w="3015" w:type="dxa"/>
          </w:tcPr>
          <w:p w14:paraId="787F4547" w14:textId="77777777" w:rsidR="00B5558E" w:rsidRPr="00B5558E" w:rsidRDefault="00B5558E" w:rsidP="00B5558E">
            <w:pPr>
              <w:ind w:firstLine="284"/>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B5558E">
              <w:rPr>
                <w:rFonts w:hint="eastAsia"/>
                <w:sz w:val="22"/>
                <w:szCs w:val="22"/>
                <w:lang w:val="en-US" w:eastAsia="zh-CN"/>
              </w:rPr>
              <w:t>SRS r</w:t>
            </w:r>
            <w:r w:rsidRPr="00B5558E">
              <w:rPr>
                <w:sz w:val="22"/>
                <w:szCs w:val="22"/>
                <w:lang w:val="en-US" w:eastAsia="zh-CN"/>
              </w:rPr>
              <w:t>esource 1</w:t>
            </w:r>
          </w:p>
        </w:tc>
      </w:tr>
      <w:tr w:rsidR="00B5558E" w14:paraId="5E1E0ED5" w14:textId="77777777" w:rsidTr="00B5558E">
        <w:trPr>
          <w:jc w:val="center"/>
        </w:trPr>
        <w:tc>
          <w:tcPr>
            <w:cnfStyle w:val="001000000000" w:firstRow="0" w:lastRow="0" w:firstColumn="1" w:lastColumn="0" w:oddVBand="0" w:evenVBand="0" w:oddHBand="0" w:evenHBand="0" w:firstRowFirstColumn="0" w:firstRowLastColumn="0" w:lastRowFirstColumn="0" w:lastRowLastColumn="0"/>
            <w:tcW w:w="1194" w:type="dxa"/>
          </w:tcPr>
          <w:p w14:paraId="7F192C24" w14:textId="15473510" w:rsidR="00B5558E" w:rsidRPr="00B5558E" w:rsidRDefault="00B5558E" w:rsidP="00B5558E">
            <w:pPr>
              <w:ind w:firstLine="284"/>
              <w:jc w:val="center"/>
              <w:rPr>
                <w:sz w:val="22"/>
                <w:szCs w:val="22"/>
                <w:lang w:val="en-US" w:eastAsia="zh-CN"/>
              </w:rPr>
            </w:pPr>
            <w:r>
              <w:rPr>
                <w:sz w:val="22"/>
                <w:szCs w:val="22"/>
                <w:lang w:val="en-US" w:eastAsia="zh-CN"/>
              </w:rPr>
              <w:t>2</w:t>
            </w:r>
          </w:p>
        </w:tc>
        <w:tc>
          <w:tcPr>
            <w:tcW w:w="3015" w:type="dxa"/>
          </w:tcPr>
          <w:p w14:paraId="03BF549F" w14:textId="77777777" w:rsidR="00B5558E" w:rsidRPr="00B5558E" w:rsidRDefault="00B5558E" w:rsidP="00B5558E">
            <w:pPr>
              <w:ind w:firstLine="284"/>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B5558E">
              <w:rPr>
                <w:rFonts w:hint="eastAsia"/>
                <w:sz w:val="22"/>
                <w:szCs w:val="22"/>
                <w:lang w:val="en-US" w:eastAsia="zh-CN"/>
              </w:rPr>
              <w:t xml:space="preserve">SRS </w:t>
            </w:r>
            <w:r w:rsidRPr="00B5558E">
              <w:rPr>
                <w:sz w:val="22"/>
                <w:szCs w:val="22"/>
                <w:lang w:val="en-US" w:eastAsia="zh-CN"/>
              </w:rPr>
              <w:t>resource 1 and 2</w:t>
            </w:r>
          </w:p>
        </w:tc>
      </w:tr>
      <w:tr w:rsidR="00B5558E" w14:paraId="63212586" w14:textId="77777777" w:rsidTr="00B555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4" w:type="dxa"/>
          </w:tcPr>
          <w:p w14:paraId="422BEEA0" w14:textId="02503828" w:rsidR="00B5558E" w:rsidRPr="00B5558E" w:rsidRDefault="00B5558E" w:rsidP="00B5558E">
            <w:pPr>
              <w:ind w:firstLine="284"/>
              <w:jc w:val="center"/>
              <w:rPr>
                <w:sz w:val="22"/>
                <w:szCs w:val="22"/>
                <w:lang w:val="en-US" w:eastAsia="zh-CN"/>
              </w:rPr>
            </w:pPr>
            <w:r>
              <w:rPr>
                <w:rFonts w:hint="eastAsia"/>
                <w:sz w:val="22"/>
                <w:szCs w:val="22"/>
                <w:lang w:val="en-US" w:eastAsia="zh-CN"/>
              </w:rPr>
              <w:t>3</w:t>
            </w:r>
          </w:p>
        </w:tc>
        <w:tc>
          <w:tcPr>
            <w:tcW w:w="3015" w:type="dxa"/>
          </w:tcPr>
          <w:p w14:paraId="2A6E4386" w14:textId="77777777" w:rsidR="00B5558E" w:rsidRPr="00B5558E" w:rsidRDefault="00B5558E" w:rsidP="00B5558E">
            <w:pPr>
              <w:ind w:firstLine="284"/>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B5558E">
              <w:rPr>
                <w:rFonts w:hint="eastAsia"/>
                <w:sz w:val="22"/>
                <w:szCs w:val="22"/>
                <w:lang w:val="en-US" w:eastAsia="zh-CN"/>
              </w:rPr>
              <w:t>SRS re</w:t>
            </w:r>
            <w:r w:rsidRPr="00B5558E">
              <w:rPr>
                <w:sz w:val="22"/>
                <w:szCs w:val="22"/>
                <w:lang w:val="en-US" w:eastAsia="zh-CN"/>
              </w:rPr>
              <w:t>source 1, 2, and 3</w:t>
            </w:r>
          </w:p>
        </w:tc>
      </w:tr>
      <w:tr w:rsidR="00B5558E" w14:paraId="4C78B89E" w14:textId="77777777" w:rsidTr="00B5558E">
        <w:trPr>
          <w:jc w:val="center"/>
        </w:trPr>
        <w:tc>
          <w:tcPr>
            <w:cnfStyle w:val="001000000000" w:firstRow="0" w:lastRow="0" w:firstColumn="1" w:lastColumn="0" w:oddVBand="0" w:evenVBand="0" w:oddHBand="0" w:evenHBand="0" w:firstRowFirstColumn="0" w:firstRowLastColumn="0" w:lastRowFirstColumn="0" w:lastRowLastColumn="0"/>
            <w:tcW w:w="1194" w:type="dxa"/>
          </w:tcPr>
          <w:p w14:paraId="09A96837" w14:textId="0BF924FD" w:rsidR="00B5558E" w:rsidRPr="00B5558E" w:rsidRDefault="00B5558E" w:rsidP="00B5558E">
            <w:pPr>
              <w:ind w:firstLine="284"/>
              <w:jc w:val="center"/>
              <w:rPr>
                <w:sz w:val="22"/>
                <w:szCs w:val="22"/>
                <w:lang w:val="en-US" w:eastAsia="zh-CN"/>
              </w:rPr>
            </w:pPr>
            <w:r>
              <w:rPr>
                <w:rFonts w:hint="eastAsia"/>
                <w:sz w:val="22"/>
                <w:szCs w:val="22"/>
                <w:lang w:val="en-US" w:eastAsia="zh-CN"/>
              </w:rPr>
              <w:t>4</w:t>
            </w:r>
          </w:p>
        </w:tc>
        <w:tc>
          <w:tcPr>
            <w:tcW w:w="3015" w:type="dxa"/>
          </w:tcPr>
          <w:p w14:paraId="430FB3FD" w14:textId="77777777" w:rsidR="00B5558E" w:rsidRPr="00B5558E" w:rsidRDefault="00B5558E" w:rsidP="00B5558E">
            <w:pPr>
              <w:ind w:firstLine="284"/>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B5558E">
              <w:rPr>
                <w:rFonts w:hint="eastAsia"/>
                <w:sz w:val="22"/>
                <w:szCs w:val="22"/>
                <w:lang w:val="en-US" w:eastAsia="zh-CN"/>
              </w:rPr>
              <w:t>SRS r</w:t>
            </w:r>
            <w:r w:rsidRPr="00B5558E">
              <w:rPr>
                <w:sz w:val="22"/>
                <w:szCs w:val="22"/>
                <w:lang w:val="en-US" w:eastAsia="zh-CN"/>
              </w:rPr>
              <w:t>esource 1, 2, 3 and 4</w:t>
            </w:r>
          </w:p>
        </w:tc>
      </w:tr>
    </w:tbl>
    <w:p w14:paraId="53315C29" w14:textId="77777777" w:rsidR="00B5558E" w:rsidRDefault="00B5558E" w:rsidP="007A7A14">
      <w:pPr>
        <w:ind w:firstLine="284"/>
        <w:jc w:val="both"/>
        <w:rPr>
          <w:sz w:val="22"/>
          <w:szCs w:val="22"/>
          <w:lang w:val="en-US" w:eastAsia="zh-CN"/>
        </w:rPr>
      </w:pPr>
    </w:p>
    <w:p w14:paraId="64084BD6" w14:textId="0052EE15" w:rsidR="00B5558E" w:rsidRPr="00B5558E" w:rsidRDefault="00B5558E" w:rsidP="007A7A14">
      <w:pPr>
        <w:ind w:firstLine="284"/>
        <w:jc w:val="both"/>
        <w:rPr>
          <w:b/>
          <w:i/>
          <w:sz w:val="22"/>
          <w:szCs w:val="22"/>
          <w:lang w:val="en-US" w:eastAsia="zh-CN"/>
        </w:rPr>
      </w:pPr>
      <w:r w:rsidRPr="00B5558E">
        <w:rPr>
          <w:b/>
          <w:i/>
          <w:sz w:val="22"/>
          <w:szCs w:val="22"/>
          <w:lang w:val="en-US" w:eastAsia="zh-CN"/>
        </w:rPr>
        <w:lastRenderedPageBreak/>
        <w:t>P</w:t>
      </w:r>
      <w:r w:rsidRPr="00B5558E">
        <w:rPr>
          <w:rFonts w:hint="eastAsia"/>
          <w:b/>
          <w:i/>
          <w:sz w:val="22"/>
          <w:szCs w:val="22"/>
          <w:lang w:val="en-US" w:eastAsia="zh-CN"/>
        </w:rPr>
        <w:t>roposa</w:t>
      </w:r>
      <w:r w:rsidRPr="00B5558E">
        <w:rPr>
          <w:b/>
          <w:i/>
          <w:sz w:val="22"/>
          <w:szCs w:val="22"/>
          <w:lang w:val="en-US" w:eastAsia="zh-CN"/>
        </w:rPr>
        <w:t>l 2: If option 1 (1-port SRS resource) is supported, the SRS resource sub-set restriction for each rank should be supported to reduce control signaling overhead</w:t>
      </w:r>
      <w:r w:rsidR="007A099E">
        <w:rPr>
          <w:b/>
          <w:i/>
          <w:sz w:val="22"/>
          <w:szCs w:val="22"/>
          <w:lang w:val="en-US" w:eastAsia="zh-CN"/>
        </w:rPr>
        <w:t xml:space="preserve"> of SRI(s)</w:t>
      </w:r>
      <w:r w:rsidRPr="00B5558E">
        <w:rPr>
          <w:b/>
          <w:i/>
          <w:sz w:val="22"/>
          <w:szCs w:val="22"/>
          <w:lang w:val="en-US" w:eastAsia="zh-CN"/>
        </w:rPr>
        <w:t xml:space="preserve"> in DCI.</w:t>
      </w:r>
    </w:p>
    <w:p w14:paraId="0483A445" w14:textId="70234F1A" w:rsidR="00B5558E" w:rsidRPr="00B5558E" w:rsidRDefault="00B5558E" w:rsidP="00B5558E">
      <w:pPr>
        <w:pStyle w:val="Heading2"/>
        <w:rPr>
          <w:lang w:val="en-US" w:eastAsia="zh-CN"/>
        </w:rPr>
      </w:pPr>
      <w:r w:rsidRPr="00B5558E">
        <w:rPr>
          <w:rFonts w:hint="eastAsia"/>
          <w:lang w:val="en-US" w:eastAsia="zh-CN"/>
        </w:rPr>
        <w:t xml:space="preserve">2.3 </w:t>
      </w:r>
      <w:r>
        <w:rPr>
          <w:lang w:val="en-US" w:eastAsia="zh-CN"/>
        </w:rPr>
        <w:t xml:space="preserve">Control Signaling for </w:t>
      </w:r>
      <w:r w:rsidRPr="00B5558E">
        <w:rPr>
          <w:lang w:val="en-US" w:eastAsia="zh-CN"/>
        </w:rPr>
        <w:t xml:space="preserve">Subband Precoding </w:t>
      </w:r>
    </w:p>
    <w:p w14:paraId="135DA63A" w14:textId="7C3FC711" w:rsidR="00A37978" w:rsidRDefault="00A37978" w:rsidP="007A7A14">
      <w:pPr>
        <w:ind w:firstLine="284"/>
        <w:jc w:val="both"/>
        <w:rPr>
          <w:sz w:val="22"/>
          <w:szCs w:val="22"/>
          <w:lang w:val="en-US" w:eastAsia="zh-CN"/>
        </w:rPr>
      </w:pPr>
      <w:r>
        <w:rPr>
          <w:sz w:val="22"/>
          <w:szCs w:val="22"/>
          <w:lang w:val="en-US" w:eastAsia="zh-CN"/>
        </w:rPr>
        <w:t xml:space="preserve">For frequency selective precoding, the UE may be able to use different precoders to different PRGs. </w:t>
      </w:r>
      <w:r w:rsidR="007A099E">
        <w:rPr>
          <w:sz w:val="22"/>
          <w:szCs w:val="22"/>
          <w:lang w:val="en-US" w:eastAsia="zh-CN"/>
        </w:rPr>
        <w:t>Then there can be two options to support the subband precoding:</w:t>
      </w:r>
    </w:p>
    <w:p w14:paraId="35C4BF1A" w14:textId="3C058159" w:rsidR="007A099E" w:rsidRPr="007A099E" w:rsidRDefault="007A099E" w:rsidP="007A099E">
      <w:pPr>
        <w:pStyle w:val="ListParagraph"/>
        <w:numPr>
          <w:ilvl w:val="0"/>
          <w:numId w:val="34"/>
        </w:numPr>
        <w:jc w:val="both"/>
        <w:rPr>
          <w:lang w:eastAsia="zh-CN"/>
        </w:rPr>
      </w:pPr>
      <w:r>
        <w:rPr>
          <w:rFonts w:eastAsiaTheme="minorEastAsia" w:hint="eastAsia"/>
          <w:lang w:eastAsia="zh-CN"/>
        </w:rPr>
        <w:t>O</w:t>
      </w:r>
      <w:r>
        <w:rPr>
          <w:rFonts w:eastAsiaTheme="minorEastAsia"/>
          <w:lang w:eastAsia="zh-CN"/>
        </w:rPr>
        <w:t>ption 1: indicate the SRI(s) for each subband</w:t>
      </w:r>
    </w:p>
    <w:p w14:paraId="3A4000F5" w14:textId="7CCA51D7" w:rsidR="007A099E" w:rsidRPr="007A099E" w:rsidRDefault="007A099E" w:rsidP="007A099E">
      <w:pPr>
        <w:pStyle w:val="ListParagraph"/>
        <w:numPr>
          <w:ilvl w:val="0"/>
          <w:numId w:val="34"/>
        </w:numPr>
        <w:jc w:val="both"/>
        <w:rPr>
          <w:lang w:eastAsia="zh-CN"/>
        </w:rPr>
      </w:pPr>
      <w:r>
        <w:rPr>
          <w:rFonts w:eastAsiaTheme="minorEastAsia"/>
          <w:lang w:eastAsia="zh-CN"/>
        </w:rPr>
        <w:t>Option 2: subband precoders are applied to one SRS resource</w:t>
      </w:r>
    </w:p>
    <w:p w14:paraId="78B2B0B2" w14:textId="3E162489" w:rsidR="007A099E" w:rsidRDefault="007A099E" w:rsidP="007A7A14">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option 1, the control signaling would be large if the number of subband is large. Hence it is better to allow the UE to apply the subband precoders directly in one SRS resource. So for each SRS resource, the gNB can indicate the PRG size. To support dynamic wideband and subband precoding switching, the gNB can configure different PRG size in different SRS resources. Then the wideband and subband precoding switching can rely on the indication of SRI(s). Figure 2 illustrates one possible configuration for SRS resources. Then in the DCI, only one SRI(s) should be indicated.</w:t>
      </w:r>
    </w:p>
    <w:p w14:paraId="4AE68AFB" w14:textId="71EBB89E" w:rsidR="007A099E" w:rsidRDefault="007A099E" w:rsidP="007A099E">
      <w:pPr>
        <w:ind w:firstLine="284"/>
        <w:jc w:val="center"/>
        <w:rPr>
          <w:sz w:val="22"/>
          <w:szCs w:val="22"/>
          <w:lang w:val="en-US" w:eastAsia="zh-CN"/>
        </w:rPr>
      </w:pPr>
      <w:r>
        <w:object w:dxaOrig="12468" w:dyaOrig="2340" w14:anchorId="096E9235">
          <v:shape id="_x0000_i1026" type="#_x0000_t75" style="width:418.2pt;height:87.6pt" o:ole="">
            <v:imagedata r:id="rId13" o:title=""/>
          </v:shape>
          <o:OLEObject Type="Embed" ProgID="Visio.Drawing.15" ShapeID="_x0000_i1026" DrawAspect="Content" ObjectID="_1568268091" r:id="rId14"/>
        </w:object>
      </w:r>
    </w:p>
    <w:p w14:paraId="4558C40B" w14:textId="54207A2D" w:rsidR="007A099E" w:rsidRPr="007A099E" w:rsidRDefault="007A099E" w:rsidP="007A099E">
      <w:pPr>
        <w:ind w:firstLine="284"/>
        <w:jc w:val="center"/>
        <w:rPr>
          <w:b/>
          <w:sz w:val="22"/>
          <w:szCs w:val="22"/>
          <w:lang w:val="en-US" w:eastAsia="zh-CN"/>
        </w:rPr>
      </w:pPr>
      <w:r w:rsidRPr="007A099E">
        <w:rPr>
          <w:rFonts w:hint="eastAsia"/>
          <w:b/>
          <w:sz w:val="22"/>
          <w:szCs w:val="22"/>
          <w:lang w:val="en-US" w:eastAsia="zh-CN"/>
        </w:rPr>
        <w:t>Figure 2</w:t>
      </w:r>
      <w:r w:rsidRPr="007A099E">
        <w:rPr>
          <w:b/>
          <w:sz w:val="22"/>
          <w:szCs w:val="22"/>
          <w:lang w:val="en-US" w:eastAsia="zh-CN"/>
        </w:rPr>
        <w:t>: one possible configuration of SRS resources</w:t>
      </w:r>
    </w:p>
    <w:p w14:paraId="5EFF3A4B" w14:textId="261337CE" w:rsidR="00B92B2F" w:rsidRPr="00334791" w:rsidRDefault="007A099E" w:rsidP="0057043C">
      <w:pPr>
        <w:ind w:firstLine="284"/>
        <w:rPr>
          <w:b/>
          <w:i/>
          <w:sz w:val="22"/>
          <w:szCs w:val="22"/>
          <w:lang w:val="en-US" w:eastAsia="zh-CN"/>
        </w:rPr>
      </w:pPr>
      <w:r>
        <w:rPr>
          <w:b/>
          <w:i/>
          <w:sz w:val="22"/>
          <w:szCs w:val="22"/>
          <w:lang w:val="en-US" w:eastAsia="zh-CN"/>
        </w:rPr>
        <w:t>Proposal 3</w:t>
      </w:r>
      <w:r w:rsidR="00B92B2F">
        <w:rPr>
          <w:b/>
          <w:i/>
          <w:sz w:val="22"/>
          <w:szCs w:val="22"/>
          <w:lang w:val="en-US" w:eastAsia="zh-CN"/>
        </w:rPr>
        <w:t xml:space="preserve">: </w:t>
      </w:r>
      <w:r w:rsidR="00727F16">
        <w:rPr>
          <w:b/>
          <w:i/>
          <w:sz w:val="22"/>
          <w:szCs w:val="22"/>
          <w:lang w:val="en-US" w:eastAsia="zh-CN"/>
        </w:rPr>
        <w:t>The PRG size or number of PRGs can be indicated for each SRS resource, and single SRI(s) can be used for subband precoding.</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58A7381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3E46FC4E" w14:textId="77777777" w:rsidR="0037385E" w:rsidRDefault="0037385E" w:rsidP="0037385E">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Pr>
          <w:b/>
          <w:i/>
          <w:sz w:val="22"/>
          <w:szCs w:val="22"/>
          <w:lang w:val="en-US" w:eastAsia="zh-CN"/>
        </w:rPr>
        <w:t>1: CSI-RS should be used for measurement and the CRI can be configured for some SRS resources.</w:t>
      </w:r>
    </w:p>
    <w:p w14:paraId="53DCAB95" w14:textId="77777777" w:rsidR="00727F16" w:rsidRPr="00B5558E" w:rsidRDefault="00727F16" w:rsidP="00727F16">
      <w:pPr>
        <w:ind w:firstLine="284"/>
        <w:jc w:val="both"/>
        <w:rPr>
          <w:b/>
          <w:i/>
          <w:sz w:val="22"/>
          <w:szCs w:val="22"/>
          <w:lang w:val="en-US" w:eastAsia="zh-CN"/>
        </w:rPr>
      </w:pPr>
      <w:r w:rsidRPr="00B5558E">
        <w:rPr>
          <w:b/>
          <w:i/>
          <w:sz w:val="22"/>
          <w:szCs w:val="22"/>
          <w:lang w:val="en-US" w:eastAsia="zh-CN"/>
        </w:rPr>
        <w:t>P</w:t>
      </w:r>
      <w:r w:rsidRPr="00B5558E">
        <w:rPr>
          <w:rFonts w:hint="eastAsia"/>
          <w:b/>
          <w:i/>
          <w:sz w:val="22"/>
          <w:szCs w:val="22"/>
          <w:lang w:val="en-US" w:eastAsia="zh-CN"/>
        </w:rPr>
        <w:t>roposa</w:t>
      </w:r>
      <w:r w:rsidRPr="00B5558E">
        <w:rPr>
          <w:b/>
          <w:i/>
          <w:sz w:val="22"/>
          <w:szCs w:val="22"/>
          <w:lang w:val="en-US" w:eastAsia="zh-CN"/>
        </w:rPr>
        <w:t>l 2: If option 1 (1-port SRS resource) is supported, the SRS resource sub-set restriction for each rank should be supported to reduce control signaling overhead</w:t>
      </w:r>
      <w:r>
        <w:rPr>
          <w:b/>
          <w:i/>
          <w:sz w:val="22"/>
          <w:szCs w:val="22"/>
          <w:lang w:val="en-US" w:eastAsia="zh-CN"/>
        </w:rPr>
        <w:t xml:space="preserve"> of SRI(s)</w:t>
      </w:r>
      <w:r w:rsidRPr="00B5558E">
        <w:rPr>
          <w:b/>
          <w:i/>
          <w:sz w:val="22"/>
          <w:szCs w:val="22"/>
          <w:lang w:val="en-US" w:eastAsia="zh-CN"/>
        </w:rPr>
        <w:t xml:space="preserve"> in DCI.</w:t>
      </w:r>
    </w:p>
    <w:p w14:paraId="449CB49B" w14:textId="73DEC3BE" w:rsidR="00B92B2F" w:rsidRPr="00727F16" w:rsidRDefault="00727F16" w:rsidP="00B92B2F">
      <w:pPr>
        <w:ind w:firstLine="284"/>
        <w:rPr>
          <w:b/>
          <w:i/>
          <w:sz w:val="22"/>
          <w:szCs w:val="22"/>
          <w:lang w:val="en-US" w:eastAsia="zh-CN"/>
        </w:rPr>
      </w:pPr>
      <w:r>
        <w:rPr>
          <w:b/>
          <w:i/>
          <w:sz w:val="22"/>
          <w:szCs w:val="22"/>
          <w:lang w:val="en-US" w:eastAsia="zh-CN"/>
        </w:rPr>
        <w:t>Proposal 3: The PRG size or number of PRGs can be indicated for each SRS resource, and single SRI(s) can be used for subband precoding.</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566DBB8" w14:textId="5294F986" w:rsidR="00D3527F" w:rsidRDefault="00E35352" w:rsidP="00B92B2F">
      <w:pPr>
        <w:numPr>
          <w:ilvl w:val="0"/>
          <w:numId w:val="2"/>
        </w:numPr>
        <w:rPr>
          <w:sz w:val="22"/>
          <w:szCs w:val="22"/>
          <w:lang w:val="en-US" w:eastAsia="zh-CN"/>
        </w:rPr>
      </w:pPr>
      <w:r w:rsidRPr="008A23F1">
        <w:rPr>
          <w:sz w:val="22"/>
          <w:szCs w:val="22"/>
          <w:lang w:val="en-US" w:eastAsia="zh-CN"/>
        </w:rPr>
        <w:t xml:space="preserve">Chairman Notes RAN1 </w:t>
      </w:r>
      <w:r w:rsidR="00727F16">
        <w:rPr>
          <w:sz w:val="22"/>
          <w:szCs w:val="22"/>
          <w:lang w:val="en-US" w:eastAsia="zh-CN"/>
        </w:rPr>
        <w:t>NR AH #3</w:t>
      </w:r>
    </w:p>
    <w:sectPr w:rsidR="00D3527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A099E" w:rsidRDefault="007A099E">
      <w:r>
        <w:separator/>
      </w:r>
    </w:p>
  </w:endnote>
  <w:endnote w:type="continuationSeparator" w:id="0">
    <w:p w14:paraId="27FD1039" w14:textId="77777777" w:rsidR="007A099E" w:rsidRDefault="007A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7A099E" w:rsidRDefault="007A09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A099E" w:rsidRDefault="007A099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7A099E" w:rsidRDefault="007A09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1E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E0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A099E" w:rsidRDefault="007A099E">
      <w:r>
        <w:separator/>
      </w:r>
    </w:p>
  </w:footnote>
  <w:footnote w:type="continuationSeparator" w:id="0">
    <w:p w14:paraId="4349E8EF" w14:textId="77777777" w:rsidR="007A099E" w:rsidRDefault="007A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7A099E" w:rsidRDefault="007A099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9FD6858"/>
    <w:multiLevelType w:val="hybridMultilevel"/>
    <w:tmpl w:val="79705910"/>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5" w15:restartNumberingAfterBreak="0">
    <w:nsid w:val="267B048E"/>
    <w:multiLevelType w:val="hybridMultilevel"/>
    <w:tmpl w:val="C5E20440"/>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3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0"/>
  </w:num>
  <w:num w:numId="7">
    <w:abstractNumId w:val="28"/>
  </w:num>
  <w:num w:numId="8">
    <w:abstractNumId w:val="19"/>
  </w:num>
  <w:num w:numId="9">
    <w:abstractNumId w:val="7"/>
  </w:num>
  <w:num w:numId="10">
    <w:abstractNumId w:val="6"/>
  </w:num>
  <w:num w:numId="11">
    <w:abstractNumId w:val="23"/>
  </w:num>
  <w:num w:numId="12">
    <w:abstractNumId w:val="10"/>
  </w:num>
  <w:num w:numId="13">
    <w:abstractNumId w:val="20"/>
  </w:num>
  <w:num w:numId="14">
    <w:abstractNumId w:val="22"/>
  </w:num>
  <w:num w:numId="15">
    <w:abstractNumId w:val="24"/>
  </w:num>
  <w:num w:numId="16">
    <w:abstractNumId w:val="31"/>
  </w:num>
  <w:num w:numId="17">
    <w:abstractNumId w:val="29"/>
  </w:num>
  <w:num w:numId="18">
    <w:abstractNumId w:val="5"/>
  </w:num>
  <w:num w:numId="19">
    <w:abstractNumId w:val="17"/>
  </w:num>
  <w:num w:numId="20">
    <w:abstractNumId w:val="32"/>
  </w:num>
  <w:num w:numId="21">
    <w:abstractNumId w:val="1"/>
  </w:num>
  <w:num w:numId="22">
    <w:abstractNumId w:val="2"/>
  </w:num>
  <w:num w:numId="23">
    <w:abstractNumId w:val="9"/>
  </w:num>
  <w:num w:numId="24">
    <w:abstractNumId w:val="8"/>
  </w:num>
  <w:num w:numId="25">
    <w:abstractNumId w:val="27"/>
  </w:num>
  <w:num w:numId="26">
    <w:abstractNumId w:val="3"/>
  </w:num>
  <w:num w:numId="27">
    <w:abstractNumId w:val="14"/>
  </w:num>
  <w:num w:numId="28">
    <w:abstractNumId w:val="26"/>
  </w:num>
  <w:num w:numId="29">
    <w:abstractNumId w:val="13"/>
  </w:num>
  <w:num w:numId="30">
    <w:abstractNumId w:val="18"/>
  </w:num>
  <w:num w:numId="31">
    <w:abstractNumId w:val="4"/>
  </w:num>
  <w:num w:numId="32">
    <w:abstractNumId w:val="34"/>
  </w:num>
  <w:num w:numId="33">
    <w:abstractNumId w:val="15"/>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39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C"/>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2EE5"/>
    <w:rsid w:val="000C393F"/>
    <w:rsid w:val="000C3987"/>
    <w:rsid w:val="000C3B68"/>
    <w:rsid w:val="000C3EB8"/>
    <w:rsid w:val="000C3F16"/>
    <w:rsid w:val="000C4403"/>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8D5"/>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A84"/>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3E5"/>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7BC"/>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85E"/>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5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640"/>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3F5"/>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761"/>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BCF"/>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27F16"/>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D44"/>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328"/>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99E"/>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1E02"/>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F8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962"/>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3F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BD6"/>
    <w:rsid w:val="008B6E5C"/>
    <w:rsid w:val="008B7394"/>
    <w:rsid w:val="008B766A"/>
    <w:rsid w:val="008B7A0E"/>
    <w:rsid w:val="008C0FB9"/>
    <w:rsid w:val="008C1DCC"/>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10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792"/>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978"/>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2A"/>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58BF"/>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D7"/>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8E"/>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2B2F"/>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E6"/>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384"/>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EDA"/>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1D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302"/>
    <w:rsid w:val="00E327EE"/>
    <w:rsid w:val="00E32E0E"/>
    <w:rsid w:val="00E330DC"/>
    <w:rsid w:val="00E33802"/>
    <w:rsid w:val="00E33814"/>
    <w:rsid w:val="00E339C6"/>
    <w:rsid w:val="00E33BB9"/>
    <w:rsid w:val="00E33E4D"/>
    <w:rsid w:val="00E3457A"/>
    <w:rsid w:val="00E34F08"/>
    <w:rsid w:val="00E3506A"/>
    <w:rsid w:val="00E35352"/>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8C"/>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389"/>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8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1">
    <w:name w:val="N1"/>
    <w:basedOn w:val="Normal"/>
    <w:link w:val="N1Char"/>
    <w:qFormat/>
    <w:rsid w:val="00B5558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5558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297DD2-AC3A-41DF-BACF-24AE88A8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898</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5397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2017-09-30T01:12:00Z</dcterms:created>
  <dcterms:modified xsi:type="dcterms:W3CDTF">2017-09-30T01:12:00Z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2017-08-09 04:59:56Z</vt:lpwstr>
  </property>
  <property fmtid="{D5CDD505-2E9C-101B-9397-08002B2CF9AE}" pid="12" name="ContentTypeId">
    <vt:lpwstr>0x010100E7203326D341CE4C85D524438E4584D9</vt:lpwstr>
  </property>
  <property fmtid="{D5CDD505-2E9C-101B-9397-08002B2CF9AE}" pid="13" name="CTPClassification">
    <vt:lpwstr>CTP_IC</vt:lpwstr>
  </property>
</Properties>
</file>